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8C" w:rsidRPr="003351FE" w:rsidRDefault="0060318C" w:rsidP="003351FE">
      <w:pPr>
        <w:jc w:val="center"/>
        <w:rPr>
          <w:rFonts w:ascii="Times New Roman" w:eastAsia="Tinos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3351FE">
        <w:rPr>
          <w:rFonts w:ascii="Times New Roman" w:eastAsia="Tinos" w:hAnsi="Times New Roman" w:cs="Times New Roman"/>
          <w:b/>
          <w:bCs/>
          <w:sz w:val="28"/>
          <w:szCs w:val="28"/>
          <w:lang w:val="ru-RU"/>
        </w:rPr>
        <w:t>Результаты исследования</w:t>
      </w:r>
      <w:bookmarkEnd w:id="0"/>
      <w:r w:rsidRPr="003351FE">
        <w:rPr>
          <w:rFonts w:ascii="Times New Roman" w:eastAsia="Tinos" w:hAnsi="Times New Roman" w:cs="Times New Roman"/>
          <w:b/>
          <w:bCs/>
          <w:sz w:val="28"/>
          <w:szCs w:val="28"/>
          <w:lang w:val="ru-RU"/>
        </w:rPr>
        <w:t xml:space="preserve"> проведенного Благотворительным Фондом развития местного сообщества «Добрые города» для выявления общественного мнения с целью дальнейшей поддержки местных инициатив.</w:t>
      </w:r>
    </w:p>
    <w:p w:rsidR="0060318C" w:rsidRPr="003351FE" w:rsidRDefault="0060318C" w:rsidP="00335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1F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 исследования.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nos" w:hAnsi="Times New Roman" w:cs="Times New Roman"/>
          <w:sz w:val="28"/>
          <w:szCs w:val="28"/>
          <w:lang w:val="ru-RU"/>
        </w:rPr>
      </w:pPr>
      <w:r w:rsidRPr="003351FE">
        <w:rPr>
          <w:rFonts w:ascii="Times New Roman" w:eastAsia="Tinos" w:hAnsi="Times New Roman" w:cs="Times New Roman"/>
          <w:sz w:val="28"/>
          <w:szCs w:val="28"/>
          <w:lang w:val="ru-RU"/>
        </w:rPr>
        <w:t xml:space="preserve">Деятельность Фонда развития местного сообщества «Добрый город» является одной из составляющих развития гражданского общества. Гражданское общество как целое слагается из местных  (локальных) сообществ. Местное сообщество — это центр сосредоточения и проявления социальной активности индивидов, тот микросоциум, в рамках которого протекает экономическая, социальная, политическая, культурная, этнонациональная, духовная жизнь граждан. Там, где существует стабильная социальная структура общества, наличие местных сообществ представлено довольно наглядно и однозначно через эти структуры. Там, где такая структура еще не сложилась, местное сообщество не имеет четких, устойчивых границ. Но локальное сообщество и не должно совпадать ни с социальными группами, ни с другими объединениями людей. Оно по самому своему смыслу есть относительно целостный, автономный фрагмент гражданского общества, в котором должны быть представлены все стороны исходного целого. 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nos" w:hAnsi="Times New Roman" w:cs="Times New Roman"/>
          <w:sz w:val="28"/>
          <w:szCs w:val="28"/>
          <w:lang w:val="ru-RU"/>
        </w:rPr>
      </w:pPr>
      <w:r w:rsidRPr="003351FE">
        <w:rPr>
          <w:rFonts w:ascii="Times New Roman" w:eastAsia="Tinos" w:hAnsi="Times New Roman" w:cs="Times New Roman"/>
          <w:sz w:val="28"/>
          <w:szCs w:val="28"/>
          <w:lang w:val="ru-RU"/>
        </w:rPr>
        <w:t xml:space="preserve">Фактором, способствующим укреплению местного сообщества, является благотворительность – важнейший атрибут гражданского общества. Определяющими свойствами благотворительности являются, во-первых, то, что она позволяет обществу обслуживать свои интересы напрямую, без посредничества государства; во-вторых, она обеспечивает перераспределение доходов от наиболее имущих к наименее имущим гражданам кратчайшим путем и в кратчайшие сроки; в-третьих, благотворительность в значительной степени становится одним из инструментов  удовлетворения основных социальных  потребностей  местного сообщества.  Вышеперечисленные обстоятельства определили </w:t>
      </w:r>
      <w:r w:rsidRPr="003351FE">
        <w:rPr>
          <w:rFonts w:ascii="Times New Roman" w:eastAsia="Tinos" w:hAnsi="Times New Roman" w:cs="Times New Roman"/>
          <w:sz w:val="28"/>
          <w:szCs w:val="28"/>
          <w:lang w:val="ru-RU"/>
        </w:rPr>
        <w:lastRenderedPageBreak/>
        <w:t>актуальность проведенного социологического исследования (см. файл «Результаты исследования»).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60318C" w:rsidRDefault="0060318C" w:rsidP="003A30BA">
      <w:pPr>
        <w:pStyle w:val="1"/>
        <w:jc w:val="center"/>
        <w:rPr>
          <w:lang w:val="ru-RU"/>
        </w:rPr>
      </w:pPr>
      <w:r>
        <w:rPr>
          <w:lang w:val="ru-RU"/>
        </w:rPr>
        <w:t>Результаты исследования</w:t>
      </w:r>
    </w:p>
    <w:p w:rsidR="0060318C" w:rsidRDefault="0060318C" w:rsidP="009A0A5E">
      <w:pPr>
        <w:pStyle w:val="1"/>
        <w:jc w:val="center"/>
        <w:rPr>
          <w:lang w:val="ru-RU"/>
        </w:rPr>
      </w:pPr>
      <w:r>
        <w:rPr>
          <w:lang w:val="ru-RU"/>
        </w:rPr>
        <w:t>Социально-демографические характеристики выборки</w:t>
      </w: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Предоставленные для анализа данные включали в себя 193 заполненные анкеты. С учетом того, что 17 респондентов отказались назвать свой возраст, распределение ответов по возрасту характеризуется доминированием молодых людей: 70% опрошенных младше 25 лет, примерно по 10% приходится на возрастные группы от 25 до 35 и от 35 до 45 лет, 4% в возрасте от 46 до 50, чуть менее 2% – от 51 до 55 лет и 3.4% опрошенных попадают в группу от 56 до 60 лет. Люди старше 61 года в выборку не попали. 79% опрошенных – женщины.</w:t>
      </w: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Большинство респондентов – люди с университетскими дипломами или незаконченным высшим образованием: в данные категории попадает, соответственно, 35% и 21% опрошенных. В опросе также приняли участие 3 человека с учеными степенями (1.6%). На участников опроса со средним специальным, средним и неполным средним образованием приходится, соответственно, 18%, 9% и 13% опрошенных. 6 человек не ответили на вопрос об уровне образования.</w:t>
      </w: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Практически все респонденты дали ответ на вопрос о сфере своей занятости (кроме 1 человека). Большинство из них – студенты (59% ответивших или 113 человек). 20 человек указали в качестве ответа «другое», однако только один из дал пояснения к своему ответу («санитар СМП»). Среди остальных категорий наиболее частотными являются специалисты, служащие и инженерно-технические работники (9.9%), госслужащие и военнослужащие (5.2%) и рабочие (4.7%). В выборку также попало 6 руководителей высшего звена управления (3.1%) и по 5 пенсионеров, менеджеров среднего звена и предпринимателей (по 2.6%).</w:t>
      </w: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традиционно чувствительный вопрос о доходах дали ответ чуть более 80% опрошенных (36 человек, или 18.7% отказались отвечать). Примерно 20% опрошенных получают от 5 до 10 тысяч рублей, и по 14% получают от 3 до 5 тысяч рублей и от 10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 15 тысяч рублей. Таким образом, доход большинства респондентов колеблется в интервале от 3 до 15 тысяч рублей (см. таблицу 1). </w:t>
      </w: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F21D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897983" w:rsidRDefault="0060318C" w:rsidP="0089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3081"/>
        <w:gridCol w:w="3081"/>
      </w:tblGrid>
      <w:tr w:rsidR="0060318C" w:rsidRPr="00B730B6">
        <w:tc>
          <w:tcPr>
            <w:tcW w:w="3080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lang w:val="ru-RU"/>
              </w:rPr>
            </w:pPr>
            <w:r w:rsidRPr="00B730B6">
              <w:rPr>
                <w:b/>
                <w:bCs/>
                <w:lang w:val="ru-RU"/>
              </w:rPr>
              <w:t>Вопрос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Частота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 ответивших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Отказотответа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18.7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Менее 3500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3501-5000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5001-10000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10001-15000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15001-20000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20001-30000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9.8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30001-50000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60318C" w:rsidRPr="00B730B6">
        <w:tc>
          <w:tcPr>
            <w:tcW w:w="3080" w:type="dxa"/>
            <w:vAlign w:val="center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Более 50000 рублей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1" w:type="dxa"/>
          </w:tcPr>
          <w:p w:rsidR="0060318C" w:rsidRPr="00B730B6" w:rsidRDefault="0060318C" w:rsidP="00B730B6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</w:tbl>
    <w:p w:rsidR="0060318C" w:rsidRPr="002A4B27" w:rsidRDefault="0060318C" w:rsidP="009A0A5E">
      <w:pPr>
        <w:pStyle w:val="1"/>
        <w:jc w:val="center"/>
        <w:rPr>
          <w:rFonts w:cs="Times New Roman"/>
          <w:lang w:val="ru-RU"/>
        </w:rPr>
      </w:pPr>
      <w:r>
        <w:rPr>
          <w:lang w:val="ru-RU"/>
        </w:rPr>
        <w:t>Информация о работе Фонда и каналы ее получения</w:t>
      </w:r>
    </w:p>
    <w:p w:rsidR="0060318C" w:rsidRDefault="0060318C" w:rsidP="002A4B27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2A4B27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вопрос «</w:t>
      </w:r>
      <w:r w:rsidRPr="004F6816">
        <w:rPr>
          <w:rFonts w:ascii="Times New Roman" w:hAnsi="Times New Roman" w:cs="Times New Roman"/>
          <w:sz w:val="24"/>
          <w:szCs w:val="24"/>
          <w:lang w:val="ru-RU"/>
        </w:rPr>
        <w:t>Знаете ли Вы о работе Фонда развития местного сообщества «Добрый город»</w:t>
      </w:r>
      <w:r>
        <w:rPr>
          <w:rFonts w:ascii="Times New Roman" w:hAnsi="Times New Roman" w:cs="Times New Roman"/>
          <w:sz w:val="24"/>
          <w:szCs w:val="24"/>
          <w:lang w:val="ru-RU"/>
        </w:rPr>
        <w:t>?» дали ответ 185 (95.5%) респондентов, из них на момент проведения опроса чуть меньше половины знали о деятельности Фонда (46.5%). 187 человек ответили на следующий вопрос, из них 82 (42.5%) человека выразили желание получать информацию о деятельности Фонда в дальнейшем, тогда как 105 (54.4%) отказались.</w:t>
      </w:r>
    </w:p>
    <w:p w:rsidR="0060318C" w:rsidRDefault="006D1E3A" w:rsidP="00CD755E">
      <w:pPr>
        <w:keepNext/>
        <w:tabs>
          <w:tab w:val="left" w:pos="3550"/>
        </w:tabs>
        <w:spacing w:line="360" w:lineRule="auto"/>
        <w:ind w:firstLine="720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05450" cy="3213100"/>
            <wp:effectExtent l="0" t="0" r="0" b="635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источников информации о событиях в городе доминирует Интернет (упомянули 70% опрошенных). Телевидение и друзья и родственники являются равнозначными источниками информации (51.3% и 49.7%), вслед за ними с небольшим отрывом идут социальные сети (44%). Традиционные медиа – радио и газеты – отметили, соответственно, 18.7% и 15% респондентов.</w:t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вопросе требовалось оценить «</w:t>
      </w:r>
      <w:r w:rsidRPr="00776E93">
        <w:rPr>
          <w:rFonts w:ascii="Times New Roman" w:hAnsi="Times New Roman" w:cs="Times New Roman"/>
          <w:sz w:val="24"/>
          <w:szCs w:val="24"/>
          <w:lang w:val="ru-RU"/>
        </w:rPr>
        <w:t>приоритеты от 1до 3, где один чаще всего</w:t>
      </w:r>
      <w:r>
        <w:rPr>
          <w:rFonts w:ascii="Times New Roman" w:hAnsi="Times New Roman" w:cs="Times New Roman"/>
          <w:sz w:val="24"/>
          <w:szCs w:val="24"/>
          <w:lang w:val="ru-RU"/>
        </w:rPr>
        <w:t>». При анализе ранги были упорядочены по категориям: «1»  – чаще всего, «2» – время от времени, «3» – иногда. Как видно из графика, телевидение опережает Интернет по частоте использования в качестве канала информации о городской жизни: 38.9% против 30.1%, однако именно Интернет выступает основным каналом получения информации для большинства респондентов (23.8% и 16.6% в категориях «чаще всего» и «время от времени»). Отчасти такой результат обусловлен молодым возрастом большинства респондентов.</w:t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D1E3A" w:rsidP="00257C25">
      <w:pPr>
        <w:keepNext/>
        <w:tabs>
          <w:tab w:val="left" w:pos="3550"/>
        </w:tabs>
        <w:spacing w:line="360" w:lineRule="auto"/>
        <w:ind w:firstLine="720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05450" cy="3213100"/>
            <wp:effectExtent l="0" t="0" r="0" b="6350"/>
            <wp:docPr id="2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Pr="00257C25" w:rsidRDefault="0060318C" w:rsidP="00257C25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На графике категория «друзья» соответствует пункту «Друзья и родственники» анкеты.</w:t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9A0A5E">
      <w:pPr>
        <w:pStyle w:val="1"/>
        <w:jc w:val="center"/>
        <w:rPr>
          <w:lang w:val="ru-RU"/>
        </w:rPr>
      </w:pPr>
      <w:r>
        <w:rPr>
          <w:lang w:val="ru-RU"/>
        </w:rPr>
        <w:t>Наиболее важные виды благотворительности</w:t>
      </w:r>
    </w:p>
    <w:p w:rsidR="0060318C" w:rsidRDefault="0060318C" w:rsidP="00A93F8C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A93F8C" w:rsidRDefault="0060318C" w:rsidP="00A93F8C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Среди наиболее важных форм благотворительности респондентами чаще всего упоминается помощь больным детям, детским домам, а также пенсионерам, ветеранам и инвалидам. С примерно равной частотой упоминаются </w:t>
      </w:r>
      <w:r w:rsidRPr="00FB3E3E"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>Материальная помощь социально-незащищенным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 xml:space="preserve">, </w:t>
      </w:r>
      <w:r w:rsidRPr="00FB3E3E"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>Поддержка спорта, культуры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 xml:space="preserve">, </w:t>
      </w:r>
      <w:r w:rsidRPr="00FB3E3E"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>Помощь бездомным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 xml:space="preserve">, </w:t>
      </w:r>
      <w:r w:rsidRPr="00FB3E3E"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>Помощь людям оказавшимся в трудной жизненнойситуации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>, Поддержка школ, детских садов. Реже всего респонденты упоминают помощь церкви и вынужденным переселенцам.</w:t>
      </w:r>
    </w:p>
    <w:p w:rsidR="0060318C" w:rsidRDefault="006D1E3A" w:rsidP="00A93F8C">
      <w:pPr>
        <w:tabs>
          <w:tab w:val="left" w:pos="3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505450" cy="3213100"/>
            <wp:effectExtent l="0" t="0" r="0" b="6350"/>
            <wp:docPr id="3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Сходная картина наблюдается с точки зрения наиболее приоритетных направлений благотворительности: здесь, опять же, лидирует помощь больным детям (28%), детским домам (33%). Вместе с тем, более важной сферой оказывается материальная помощь социально-незащищенным (11.4%) и поддержка спорта и культуры (7.3%), и лишь затем помощь ветеранам и пенсионерам (6.7%).</w:t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D1E3A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91200" cy="5219700"/>
            <wp:effectExtent l="0" t="0" r="0" b="0"/>
            <wp:docPr id="4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2155"/>
        <w:gridCol w:w="1701"/>
        <w:gridCol w:w="1984"/>
      </w:tblGrid>
      <w:tr w:rsidR="0060318C" w:rsidRPr="00B730B6">
        <w:tc>
          <w:tcPr>
            <w:tcW w:w="3232" w:type="dxa"/>
          </w:tcPr>
          <w:p w:rsidR="0060318C" w:rsidRPr="00B730B6" w:rsidRDefault="0060318C" w:rsidP="00B730B6">
            <w:pPr>
              <w:tabs>
                <w:tab w:val="left" w:pos="355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sz w:val="24"/>
                <w:szCs w:val="24"/>
                <w:lang w:val="ru-RU"/>
              </w:rPr>
              <w:t>Виды благотворительности</w:t>
            </w:r>
          </w:p>
        </w:tc>
        <w:tc>
          <w:tcPr>
            <w:tcW w:w="2155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</w:rPr>
              <w:t>Наиболее</w:t>
            </w: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30B6">
              <w:rPr>
                <w:b/>
                <w:bCs/>
                <w:color w:val="000000"/>
                <w:sz w:val="24"/>
                <w:szCs w:val="24"/>
              </w:rPr>
              <w:t>важно</w:t>
            </w: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,%</w:t>
            </w:r>
          </w:p>
        </w:tc>
        <w:tc>
          <w:tcPr>
            <w:tcW w:w="1701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</w:rPr>
              <w:t>Важно</w:t>
            </w: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,%</w:t>
            </w:r>
          </w:p>
        </w:tc>
        <w:tc>
          <w:tcPr>
            <w:tcW w:w="1984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</w:rPr>
              <w:t>Менее</w:t>
            </w: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30B6">
              <w:rPr>
                <w:b/>
                <w:bCs/>
                <w:color w:val="000000"/>
                <w:sz w:val="24"/>
                <w:szCs w:val="24"/>
              </w:rPr>
              <w:t>важно</w:t>
            </w: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,%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Помощь больным детям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Помощь детским домам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Помощь ветеранам, пенсионерам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Материальная помощь социально-незащищенным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Поддержка спорта, культуры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Помощь бездомным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1.6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6.7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15.0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Помощь людям оказавшимся в трудной жизненной ситуации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>Поддержка школ, детских садов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Помощь </w:t>
            </w: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беженцам/вынужденным переселенцам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</w:tr>
      <w:tr w:rsidR="0060318C" w:rsidRPr="00B730B6">
        <w:tc>
          <w:tcPr>
            <w:tcW w:w="323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Пожертвования на церковь, помощь в восстановлении и строительстве храмов</w:t>
            </w:r>
          </w:p>
        </w:tc>
        <w:tc>
          <w:tcPr>
            <w:tcW w:w="215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0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</w:tr>
    </w:tbl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2B6CC9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форм благотворительности, которые, по мнению респондентов, являются наиболее важными для города и области, были также отмечены: «</w:t>
      </w:r>
      <w:r w:rsidRPr="003E1315">
        <w:rPr>
          <w:rFonts w:ascii="Times New Roman" w:hAnsi="Times New Roman" w:cs="Times New Roman"/>
          <w:sz w:val="24"/>
          <w:szCs w:val="24"/>
          <w:lang w:val="ru-RU"/>
        </w:rPr>
        <w:t>оплата обучения в университете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93F8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E1315">
        <w:rPr>
          <w:rFonts w:ascii="Times New Roman" w:hAnsi="Times New Roman" w:cs="Times New Roman"/>
          <w:sz w:val="24"/>
          <w:szCs w:val="24"/>
          <w:lang w:val="ru-RU"/>
        </w:rPr>
        <w:t>уделять внимание молодежи, а не беженцам и укра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E1315">
        <w:rPr>
          <w:rFonts w:ascii="Times New Roman" w:hAnsi="Times New Roman" w:cs="Times New Roman"/>
          <w:sz w:val="24"/>
          <w:szCs w:val="24"/>
          <w:lang w:val="ru-RU"/>
        </w:rPr>
        <w:t>нцам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93F8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E1315">
        <w:rPr>
          <w:rFonts w:ascii="Times New Roman" w:hAnsi="Times New Roman" w:cs="Times New Roman"/>
          <w:sz w:val="24"/>
          <w:szCs w:val="24"/>
          <w:lang w:val="ru-RU"/>
        </w:rPr>
        <w:t>создание рабочих мест для нуждающихся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93F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318C" w:rsidRDefault="0060318C" w:rsidP="009A0A5E">
      <w:pPr>
        <w:pStyle w:val="1"/>
        <w:jc w:val="center"/>
        <w:rPr>
          <w:lang w:val="ru-RU"/>
        </w:rPr>
      </w:pPr>
      <w:r>
        <w:rPr>
          <w:lang w:val="ru-RU"/>
        </w:rPr>
        <w:t>Участие в благотворительности за последний год</w:t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93% респондентов принимали участие в той или иной форме благотворительности в прошлом году. Распределение респондентов по видам благотворительности имеет следующий вид:</w:t>
      </w:r>
    </w:p>
    <w:p w:rsidR="0060318C" w:rsidRPr="003A30BA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201A0E" w:rsidRDefault="006D1E3A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505450" cy="3213100"/>
            <wp:effectExtent l="0" t="0" r="0" b="6350"/>
            <wp:docPr id="5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6B7473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форм участия, не включенных в варианты ответа на соответствующий вопрос, были названы: «</w:t>
      </w:r>
      <w:r w:rsidRPr="003E1315">
        <w:rPr>
          <w:rFonts w:ascii="Times New Roman" w:hAnsi="Times New Roman" w:cs="Times New Roman"/>
          <w:sz w:val="24"/>
          <w:szCs w:val="24"/>
          <w:lang w:val="ru-RU"/>
        </w:rPr>
        <w:t>являюсь организатором благотворительных акций</w:t>
      </w:r>
      <w:r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Pr="003E1315">
        <w:rPr>
          <w:rFonts w:ascii="Times New Roman" w:hAnsi="Times New Roman" w:cs="Times New Roman"/>
          <w:sz w:val="24"/>
          <w:szCs w:val="24"/>
          <w:lang w:val="ru-RU"/>
        </w:rPr>
        <w:t>сдавала кровь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0318C" w:rsidRDefault="0060318C" w:rsidP="00201A0E">
      <w:pPr>
        <w:pStyle w:val="1"/>
        <w:rPr>
          <w:lang w:val="ru-RU"/>
        </w:rPr>
      </w:pPr>
      <w:r>
        <w:rPr>
          <w:lang w:val="ru-RU"/>
        </w:rPr>
        <w:lastRenderedPageBreak/>
        <w:t>Готовность к участию в благотворительности</w:t>
      </w:r>
    </w:p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 человек, или примерно 10% респондентов не готовы принимать участие ни в какой из перечисленных форм благотворительности. Других форм участия ни один из респондентов не предложил. В анкете необходимо было выбрать три наиболее предпочтительных формы участия в благотворительных акциях и проранжировать их, начиная с наиболее предпочтительной.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1750"/>
        <w:gridCol w:w="1697"/>
        <w:gridCol w:w="1698"/>
        <w:gridCol w:w="1698"/>
      </w:tblGrid>
      <w:tr w:rsidR="0060318C" w:rsidRPr="00B730B6">
        <w:tc>
          <w:tcPr>
            <w:tcW w:w="2399" w:type="dxa"/>
          </w:tcPr>
          <w:p w:rsidR="0060318C" w:rsidRPr="00B730B6" w:rsidRDefault="0060318C" w:rsidP="00B730B6">
            <w:pPr>
              <w:tabs>
                <w:tab w:val="left" w:pos="355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sz w:val="24"/>
                <w:szCs w:val="24"/>
                <w:lang w:val="ru-RU"/>
              </w:rPr>
              <w:t>Формы благотворительности</w:t>
            </w:r>
          </w:p>
        </w:tc>
        <w:tc>
          <w:tcPr>
            <w:tcW w:w="1750" w:type="dxa"/>
          </w:tcPr>
          <w:p w:rsidR="0060318C" w:rsidRPr="00B730B6" w:rsidRDefault="0060318C" w:rsidP="00B730B6">
            <w:pPr>
              <w:tabs>
                <w:tab w:val="left" w:pos="355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sz w:val="24"/>
                <w:szCs w:val="24"/>
                <w:lang w:val="ru-RU"/>
              </w:rPr>
              <w:t>Всего, %</w:t>
            </w:r>
          </w:p>
        </w:tc>
        <w:tc>
          <w:tcPr>
            <w:tcW w:w="1697" w:type="dxa"/>
          </w:tcPr>
          <w:p w:rsidR="0060318C" w:rsidRPr="00B730B6" w:rsidRDefault="0060318C" w:rsidP="00B730B6">
            <w:pPr>
              <w:tabs>
                <w:tab w:val="left" w:pos="355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98" w:type="dxa"/>
          </w:tcPr>
          <w:p w:rsidR="0060318C" w:rsidRPr="00B730B6" w:rsidRDefault="0060318C" w:rsidP="00B730B6">
            <w:pPr>
              <w:tabs>
                <w:tab w:val="left" w:pos="355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98" w:type="dxa"/>
          </w:tcPr>
          <w:p w:rsidR="0060318C" w:rsidRPr="00B730B6" w:rsidRDefault="0060318C" w:rsidP="00B730B6">
            <w:pPr>
              <w:tabs>
                <w:tab w:val="left" w:pos="3550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730B6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концерты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16.1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марафоны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3.6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распродажи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17.1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спортивные мероприятия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25.9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3.1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аукционы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2.6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лотереи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2.6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шоу программы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5.7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rFonts w:eastAsia="Batang"/>
                <w:b/>
                <w:bCs/>
                <w:color w:val="000000"/>
                <w:lang w:val="ru-RU" w:eastAsia="ko-KR"/>
              </w:rPr>
              <w:t>детские праздники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5.2</w:t>
            </w:r>
          </w:p>
        </w:tc>
      </w:tr>
      <w:tr w:rsidR="0060318C" w:rsidRPr="00B730B6">
        <w:tc>
          <w:tcPr>
            <w:tcW w:w="2399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730B6">
              <w:rPr>
                <w:b/>
                <w:bCs/>
                <w:color w:val="000000"/>
                <w:lang w:val="ru-RU"/>
              </w:rPr>
              <w:t>ярмарки</w:t>
            </w:r>
          </w:p>
        </w:tc>
        <w:tc>
          <w:tcPr>
            <w:tcW w:w="1750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697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98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30B6">
              <w:rPr>
                <w:color w:val="000000"/>
                <w:sz w:val="18"/>
                <w:szCs w:val="18"/>
              </w:rPr>
              <w:t>4.7</w:t>
            </w:r>
          </w:p>
        </w:tc>
      </w:tr>
    </w:tbl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графика видно, что чаще всего респондентами упоминались благотворительные концерты, марафоны и распродажи, а также спортивные мероприятия.</w:t>
      </w:r>
    </w:p>
    <w:p w:rsidR="0060318C" w:rsidRDefault="006D1E3A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505450" cy="3213100"/>
            <wp:effectExtent l="0" t="0" r="0" b="6350"/>
            <wp:docPr id="6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Pr="00180A48" w:rsidRDefault="0060318C" w:rsidP="00180A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Вместе с тем, наиболее предпочтительной формой благотворительности для респондентов являются марафоны, и лишь затем – концерты, спортивные мероприятия и аукционы. Результаты отчасти искажены пересечением вариантов ответа: так, марафоны, очевидно, могут относиться к спортивным мероприятиям.</w:t>
      </w:r>
    </w:p>
    <w:p w:rsidR="0060318C" w:rsidRDefault="006D1E3A" w:rsidP="00201A0E">
      <w:pPr>
        <w:pStyle w:val="1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5505450" cy="3213100"/>
            <wp:effectExtent l="0" t="0" r="0" b="6350"/>
            <wp:docPr id="7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Pr="00180A48" w:rsidRDefault="0060318C" w:rsidP="00180A48">
      <w:pPr>
        <w:rPr>
          <w:lang w:val="ru-RU"/>
        </w:rPr>
      </w:pPr>
    </w:p>
    <w:p w:rsidR="0060318C" w:rsidRDefault="0060318C" w:rsidP="00A774DF">
      <w:pPr>
        <w:pStyle w:val="1"/>
        <w:jc w:val="center"/>
        <w:rPr>
          <w:lang w:val="ru-RU"/>
        </w:rPr>
      </w:pPr>
      <w:r>
        <w:rPr>
          <w:lang w:val="ru-RU"/>
        </w:rPr>
        <w:t>Группы нуждающихся, вызывающие наибольшее сочувствие</w:t>
      </w:r>
    </w:p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вопрос о том, какие группы нуждающихся вызывают наибольшее сочувствие, один респондент указал «и все остальные группы». В целом, результаты опроса распределились следующим образом: чаще всего респондентами упоминались такие категории нуждающихся, как дети с особыми потребностями (49%), дети-сироты (38%), пожилые люди и ветераны (34%), бездомные (29%). От 17% до 20% респондентов упомянули людей, нуждающихся в оплате лечения, взрослых инвалидов, многодетные семьи, малообеспеченные слои населения. Наконец, от 7% до 13% респондентов назвали такие категории нуждающихся, как талантливые дети, молодежь, вынужденные мигранты. Реже всего упоминались люди с определенными заболеваниями, женщины, военнослужащие, бывшие осужденные, представители малых народов и жители определенных территорий (менее 5%). Частотность упоминаний представлена в графике ниже.</w:t>
      </w:r>
    </w:p>
    <w:p w:rsidR="0060318C" w:rsidRDefault="006D1E3A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670550" cy="3733800"/>
            <wp:effectExtent l="0" t="0" r="6350" b="0"/>
            <wp:docPr id="8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993"/>
        <w:gridCol w:w="992"/>
        <w:gridCol w:w="1276"/>
        <w:gridCol w:w="1275"/>
      </w:tblGrid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pacing w:val="-3"/>
                <w:lang w:val="ru-RU" w:eastAsia="en-GB"/>
              </w:rPr>
            </w:pPr>
            <w:r w:rsidRPr="00B730B6">
              <w:rPr>
                <w:b/>
                <w:bCs/>
                <w:color w:val="000000"/>
                <w:spacing w:val="-3"/>
                <w:lang w:val="ru-RU" w:eastAsia="en-GB"/>
              </w:rPr>
              <w:t>Категория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%</w:t>
            </w:r>
          </w:p>
        </w:tc>
        <w:tc>
          <w:tcPr>
            <w:tcW w:w="992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1276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1275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</w:tr>
      <w:tr w:rsidR="0060318C" w:rsidRPr="00B730B6">
        <w:trPr>
          <w:trHeight w:val="270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Дети с особыми потребностями, дети инвалиды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49.2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Дети-сироты, беспризорные и безнадзорные дети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38.3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Пожилые люди, ветераны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33.7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</w:tr>
      <w:tr w:rsidR="0060318C" w:rsidRPr="00B730B6">
        <w:trPr>
          <w:trHeight w:val="270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Бездомные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29.0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Люди, нуждающиеся в лечении (оплата операций)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25.9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Взрослые инвалиды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23.8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60318C" w:rsidRPr="00B730B6">
        <w:trPr>
          <w:trHeight w:val="270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Многодетные семьи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20.7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Малообеспеченные слои населения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17.1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Безработные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13.5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Талантливые дети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0318C" w:rsidRPr="00B730B6">
        <w:trPr>
          <w:trHeight w:val="270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Мигранты, беженцы и вынужденные переселенцы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Молодежь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Люди с определенным заболеванием (диабет, ВИЧ и пр.)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Женщины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60318C" w:rsidRPr="00B730B6">
        <w:trPr>
          <w:trHeight w:val="270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Коренные и малочисленные народы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Осужденные, бывшие осужденные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2.1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0318C" w:rsidRPr="00B730B6">
        <w:trPr>
          <w:trHeight w:val="252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Военнослужащие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0318C" w:rsidRPr="00B730B6">
        <w:trPr>
          <w:trHeight w:val="270"/>
        </w:trPr>
        <w:tc>
          <w:tcPr>
            <w:tcW w:w="4394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spacing w:val="-3"/>
                <w:lang w:val="ru-RU" w:eastAsia="en-GB"/>
              </w:rPr>
              <w:t>Жители определенных территорий</w:t>
            </w:r>
          </w:p>
        </w:tc>
        <w:tc>
          <w:tcPr>
            <w:tcW w:w="993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</w:tbl>
    <w:p w:rsidR="0060318C" w:rsidRDefault="0060318C" w:rsidP="00201A0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86DF1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этом характерно, что при анализе ранжирования выделяются несколько групп. Бывшие осужденные, военнослужащие и жители определенных территорий не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были упомянуты ни одним респондентом в качестве групп нуждающихся, вызывающих наибольшее сочувствие – все респонденты, упомянувшие данные группы, присвоили им ранг «3», т.е. вызывающие наименьшее сочувствие. Женщины и представители малых народов также не были ни разу упомянуты в рамках ранга «1»: малые народы получили по полпроцента в рангах «2» и «3», женщины – 1% и 3%, соответственно. Все остальные категории нуждающихся хотя бы у некоторых респондентов вызывают наибольшее сочувствие, при этом, как можно видеть из таблицы, талантливые дети, люди, нуждающиеся в оплате лечения, мигранты и вынужденные переселенцы, молодежь и люди с определенными заболеваниями к первой категории отнесли менее 5% респондентов. Остальные группы, отнесенные к первой категории, показаны на графике: </w:t>
      </w:r>
    </w:p>
    <w:p w:rsidR="0060318C" w:rsidRDefault="006D1E3A" w:rsidP="00FD7DBA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314950" cy="4229100"/>
            <wp:effectExtent l="0" t="0" r="0" b="0"/>
            <wp:docPr id="9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201A0E">
      <w:pPr>
        <w:pStyle w:val="1"/>
        <w:rPr>
          <w:lang w:val="ru-RU"/>
        </w:rPr>
      </w:pPr>
      <w:r>
        <w:rPr>
          <w:lang w:val="ru-RU"/>
        </w:rPr>
        <w:t>Наиболее удобные способы помощи</w:t>
      </w:r>
    </w:p>
    <w:p w:rsidR="0060318C" w:rsidRDefault="0060318C" w:rsidP="00DB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DB7066" w:rsidRDefault="0060318C" w:rsidP="00DB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Чаще всего  респонденты упоминают вариант «помочь делом», эту форму помощи упомянули 64% опрошенных. На втором и третьем месте – передача продуктов и вещей, либо лично нуждающимся (52%), либо через организацию (38%).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Разница между двумя последними показателями может свидетельствовать о недостаточном доверии респондентов к общественным организациям, выступающим от имени нуждающихся. Примерно равные доли опрошенных упомянули пожертвование в благотворительный ящик, отправку СМС и участие в благотворительных акциях, и менее четверти – перевод денег на банковский счет благотворительной организации.</w:t>
      </w:r>
    </w:p>
    <w:p w:rsidR="0060318C" w:rsidRDefault="006D1E3A" w:rsidP="00510A7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05450" cy="3213100"/>
            <wp:effectExtent l="0" t="0" r="0" b="6350"/>
            <wp:docPr id="1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DB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Вместе с тем, среди форм помощи, являющихся наиболее удобными (в ранге «1»), респонденты, наряду с личной передачей вещей и помощи делом, называют перевод денег на банковский счет благотворительной организации (8.8%), и лишь затем – передачу вещей через организацию (8.3%). Далее идут такие формы помощи, как отправка СМС, участие в благотворительной акции и пожертвование через благотворительный ящик (7.3% и по 4.7% соответственно).</w:t>
      </w:r>
    </w:p>
    <w:tbl>
      <w:tblPr>
        <w:tblW w:w="8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275"/>
        <w:gridCol w:w="1276"/>
        <w:gridCol w:w="1134"/>
        <w:gridCol w:w="1134"/>
      </w:tblGrid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lang w:val="ru-RU"/>
              </w:rPr>
            </w:pPr>
            <w:r w:rsidRPr="00B730B6">
              <w:rPr>
                <w:b/>
                <w:bCs/>
                <w:color w:val="000000"/>
                <w:lang w:val="ru-RU"/>
              </w:rPr>
              <w:t>Формы помощи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%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</w:tr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</w:rPr>
              <w:t>Помочьделом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  <w:t>64.2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  <w:t>51.8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  <w:t>6.2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  <w:t>6.2</w:t>
            </w:r>
          </w:p>
        </w:tc>
      </w:tr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lang w:val="ru-RU"/>
              </w:rPr>
              <w:t>Перечислить деньги на  банковский счет благотворительной организации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  <w:t>21.8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val="ru-RU" w:eastAsia="en-GB"/>
              </w:rPr>
              <w:t>8.</w:t>
            </w: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10.4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</w:tr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lang w:val="ru-RU"/>
              </w:rPr>
              <w:t>Передать вещи/продукты лично нуждающимся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52.3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18.1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22.3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11.9</w:t>
            </w:r>
          </w:p>
        </w:tc>
      </w:tr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lang w:val="ru-RU"/>
              </w:rPr>
              <w:t>Передать вещи/продукты через общественную организацию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37.8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20.7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8.8</w:t>
            </w:r>
          </w:p>
        </w:tc>
      </w:tr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lang w:val="ru-RU"/>
              </w:rPr>
              <w:t>Поучаствовать благотворительной акции (концерте, аукционе, лотерее, спортивном мероприятии)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30.1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10.9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14.5</w:t>
            </w:r>
          </w:p>
        </w:tc>
      </w:tr>
      <w:tr w:rsidR="0060318C" w:rsidRPr="00B730B6">
        <w:tc>
          <w:tcPr>
            <w:tcW w:w="3828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lang w:val="ru-RU"/>
              </w:rPr>
              <w:t xml:space="preserve">Бросить деньги в  благотворительный ящик </w:t>
            </w: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27.5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10.9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11.9</w:t>
            </w:r>
          </w:p>
        </w:tc>
      </w:tr>
      <w:tr w:rsidR="0060318C" w:rsidRPr="00B730B6">
        <w:tc>
          <w:tcPr>
            <w:tcW w:w="3828" w:type="dxa"/>
          </w:tcPr>
          <w:p w:rsidR="0060318C" w:rsidRPr="00B730B6" w:rsidRDefault="0060318C" w:rsidP="00B730B6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B730B6">
              <w:rPr>
                <w:color w:val="000000"/>
                <w:lang w:val="ru-RU"/>
              </w:rPr>
              <w:lastRenderedPageBreak/>
              <w:t>Посылать  СМС во время благотворительных акций</w:t>
            </w:r>
          </w:p>
          <w:p w:rsidR="0060318C" w:rsidRPr="00B730B6" w:rsidRDefault="0060318C" w:rsidP="00B7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31.6</w:t>
            </w:r>
          </w:p>
        </w:tc>
        <w:tc>
          <w:tcPr>
            <w:tcW w:w="1276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19.7</w:t>
            </w:r>
          </w:p>
        </w:tc>
      </w:tr>
    </w:tbl>
    <w:p w:rsidR="0060318C" w:rsidRDefault="0060318C" w:rsidP="00DB70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510A75" w:rsidRDefault="006D1E3A" w:rsidP="00510A7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35700" cy="5689600"/>
            <wp:effectExtent l="0" t="0" r="0" b="6350"/>
            <wp:docPr id="1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201A0E">
      <w:pPr>
        <w:pStyle w:val="1"/>
        <w:rPr>
          <w:lang w:val="ru-RU"/>
        </w:rPr>
      </w:pPr>
      <w:r>
        <w:rPr>
          <w:lang w:val="ru-RU"/>
        </w:rPr>
        <w:t>Группы нуждающихся, которым респонденты готовы жертвовать</w:t>
      </w:r>
    </w:p>
    <w:p w:rsidR="0060318C" w:rsidRDefault="0060318C" w:rsidP="000061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0061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респондентов на вопрос о том, каким группам нуждающихся они готовы жертвовать, в целом совпадают с ответами на предыдущий вопрос – о том, какие группы вызывают наибольшее сочувствие. Чуть более половины респондентов упомянули детей с особыми потребностями и детей-инвалидов, более 30% –  людей, нуждающихся в лечении, детей-сирот и пожилых людей. Несмотря на то, что бездомным сочувствует 29% респондентов, жертвовать им готовы лишь 22%</w:t>
      </w:r>
    </w:p>
    <w:p w:rsidR="0060318C" w:rsidRDefault="0060318C" w:rsidP="000061FB">
      <w:pPr>
        <w:spacing w:line="360" w:lineRule="auto"/>
        <w:ind w:firstLine="720"/>
        <w:jc w:val="both"/>
        <w:rPr>
          <w:lang w:val="ru-RU"/>
        </w:rPr>
      </w:pPr>
    </w:p>
    <w:p w:rsidR="0060318C" w:rsidRPr="00DF3D62" w:rsidRDefault="0060318C" w:rsidP="00DF3D62">
      <w:pPr>
        <w:rPr>
          <w:lang w:val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134"/>
        <w:gridCol w:w="1134"/>
        <w:gridCol w:w="1134"/>
        <w:gridCol w:w="1134"/>
      </w:tblGrid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color w:val="000000"/>
                <w:spacing w:val="-3"/>
                <w:lang w:val="ru-RU" w:eastAsia="en-GB"/>
              </w:rPr>
            </w:pPr>
            <w:r w:rsidRPr="00B730B6">
              <w:rPr>
                <w:b/>
                <w:bCs/>
                <w:color w:val="000000"/>
                <w:spacing w:val="-3"/>
                <w:lang w:val="ru-RU" w:eastAsia="en-GB"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%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B730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spacing w:val="-3"/>
                <w:lang w:val="ru-RU"/>
              </w:rPr>
              <w:t>Дети с особыми потребностями, дети инвалиды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spacing w:val="-3"/>
                <w:lang w:val="ru-RU"/>
              </w:rPr>
              <w:t>Дети-сироты, беспризорные и безнадзорные дети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spacing w:val="-3"/>
                <w:lang w:val="ru-RU"/>
              </w:rPr>
              <w:t>Люди, нуждающиеся в лечении (оплата операций)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Пожилые люди, ветераны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Бездомные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Взрослые инвалиды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Многодетные семьи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Малообеспеченные слои населения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Талантливые дети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Безработные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spacing w:val="-3"/>
                <w:lang w:val="ru-RU"/>
              </w:rPr>
              <w:t>Люди с определенным заболеванием (диабет, ВИЧ и пр.)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/>
              </w:rPr>
            </w:pPr>
            <w:r w:rsidRPr="00B730B6">
              <w:rPr>
                <w:color w:val="000000"/>
                <w:spacing w:val="-3"/>
                <w:lang w:val="ru-RU"/>
              </w:rPr>
              <w:t>Мигранты, беженцы и вынужденные переселенцы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Женщины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Жители определенных территорий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Осужденные, бывшие осужденные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</w:rPr>
            </w:pPr>
            <w:r w:rsidRPr="00B730B6">
              <w:rPr>
                <w:color w:val="000000"/>
                <w:spacing w:val="-3"/>
                <w:lang w:val="ru-RU"/>
              </w:rPr>
              <w:t>Коренные и малочисленные народы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0318C" w:rsidRPr="00B730B6">
        <w:tc>
          <w:tcPr>
            <w:tcW w:w="5070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spacing w:val="-3"/>
                <w:lang w:val="ru-RU"/>
              </w:rPr>
            </w:pPr>
            <w:r w:rsidRPr="00B730B6">
              <w:rPr>
                <w:color w:val="000000"/>
                <w:spacing w:val="-3"/>
                <w:lang w:val="ru-RU"/>
              </w:rPr>
              <w:t>Военнослужащие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60318C" w:rsidRDefault="0060318C" w:rsidP="00201A0E">
      <w:pPr>
        <w:rPr>
          <w:lang w:val="ru-RU"/>
        </w:rPr>
      </w:pPr>
    </w:p>
    <w:p w:rsidR="0060318C" w:rsidRDefault="0060318C" w:rsidP="00A774DF">
      <w:pPr>
        <w:pStyle w:val="1"/>
        <w:jc w:val="center"/>
        <w:rPr>
          <w:lang w:val="ru-RU"/>
        </w:rPr>
      </w:pPr>
      <w:r>
        <w:rPr>
          <w:lang w:val="ru-RU"/>
        </w:rPr>
        <w:t>Проблемы местного сообщества</w:t>
      </w:r>
    </w:p>
    <w:p w:rsidR="0060318C" w:rsidRDefault="0060318C" w:rsidP="00152F4E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60318C" w:rsidRDefault="0060318C" w:rsidP="00152F4E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данным опроса, наиболее острой проблемой местных сообществ являются бездомные животные – их упоминают  чуть более 40% опрошенных. Курение в общественных местах, отсутствие удобной среды для инвалидов и загрязнение водоемов отметили чуть более четверти опрошенных. Примерно поровну распределились и такие проблемы, как плохая экология, парковка во дворах и на тротуарах и отсутствие досуга для молодежи (19-20%). А также отсутствие спортивных площадок (20.7%). От 10% до 15% респондентов указали отсутствие зеленых зон, вырубку деревьев и уничтожение парков, отсутствие досуга для молодежи. Наконец, меньше всего опрошенных обратили внимание на отсутствие парковок, закрытие небольших магазинов и плохую работу управляющей компании (7-10%). Наименее актуальной является проблема точечной застройки – ее отметили лишь 5% опрошенных.</w:t>
      </w:r>
    </w:p>
    <w:p w:rsidR="0060318C" w:rsidRDefault="0060318C" w:rsidP="00152F4E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Следует отметить, что часть вариантов ответа пересекаются: так, парковки во дворах и на тротуарах являются следствием отсутствия специально выделенных мест для парковки, часть вопросов также укладывается в более общую категорию «плохой экологии».</w:t>
      </w:r>
    </w:p>
    <w:p w:rsidR="0060318C" w:rsidRPr="00152F4E" w:rsidRDefault="0060318C" w:rsidP="00152F4E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134"/>
        <w:gridCol w:w="992"/>
        <w:gridCol w:w="992"/>
        <w:gridCol w:w="851"/>
      </w:tblGrid>
      <w:tr w:rsidR="0060318C" w:rsidRPr="00B730B6">
        <w:tc>
          <w:tcPr>
            <w:tcW w:w="6096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lang w:val="ru-RU"/>
              </w:rPr>
            </w:pPr>
            <w:r w:rsidRPr="00B730B6">
              <w:rPr>
                <w:b/>
                <w:bCs/>
                <w:lang w:val="ru-RU"/>
              </w:rPr>
              <w:lastRenderedPageBreak/>
              <w:t>Проблема</w:t>
            </w:r>
          </w:p>
        </w:tc>
        <w:tc>
          <w:tcPr>
            <w:tcW w:w="1134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lang w:val="ru-RU"/>
              </w:rPr>
            </w:pPr>
            <w:r w:rsidRPr="00B730B6">
              <w:rPr>
                <w:b/>
                <w:bCs/>
                <w:lang w:val="ru-RU"/>
              </w:rPr>
              <w:t>%</w:t>
            </w:r>
          </w:p>
        </w:tc>
        <w:tc>
          <w:tcPr>
            <w:tcW w:w="992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lang w:val="ru-RU"/>
              </w:rPr>
            </w:pPr>
            <w:r w:rsidRPr="00B730B6">
              <w:rPr>
                <w:b/>
                <w:bCs/>
                <w:lang w:val="ru-RU"/>
              </w:rPr>
              <w:t>1</w:t>
            </w:r>
          </w:p>
        </w:tc>
        <w:tc>
          <w:tcPr>
            <w:tcW w:w="992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lang w:val="ru-RU"/>
              </w:rPr>
            </w:pPr>
            <w:r w:rsidRPr="00B730B6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:rsidR="0060318C" w:rsidRPr="00B730B6" w:rsidRDefault="0060318C" w:rsidP="00B730B6">
            <w:pPr>
              <w:spacing w:after="0" w:line="240" w:lineRule="auto"/>
              <w:rPr>
                <w:b/>
                <w:bCs/>
                <w:lang w:val="ru-RU"/>
              </w:rPr>
            </w:pPr>
            <w:r w:rsidRPr="00B730B6">
              <w:rPr>
                <w:b/>
                <w:bCs/>
                <w:lang w:val="ru-RU"/>
              </w:rPr>
              <w:t>3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Бездомные животные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40.4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20.2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14.5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lang w:val="ru-RU" w:eastAsia="en-GB"/>
              </w:rPr>
              <w:t>Курение в общественных местах (детские площадки, лестницы),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27.5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9.3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10.9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Загрязнение водоемов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25.4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17.1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lang w:val="ru-RU" w:eastAsia="en-GB"/>
              </w:rPr>
              <w:t>Отсутствие доступной среды для инвалидов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25.4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Отсутствие спортивных площадок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20.7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10.9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3.6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Плохая экология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19.7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lang w:val="ru-RU" w:eastAsia="en-GB"/>
              </w:rPr>
              <w:t>Парковка во дворах и на тротуарах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19.2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Отсутствие досуга для молодежи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19.2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11.9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Отсутствие детских площадок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14.5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Вырубка деревьев, уничтожение парков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13.5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Отсутствие зеленых зон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12.4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4.7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3.6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Плохая работа управляющей кампании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9.8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5.7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 xml:space="preserve">Отсутствие/закрытие небольших  магазинов 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8.8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>Отсутствие парковок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6.7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.5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val="ru-RU" w:eastAsia="en-GB"/>
              </w:rPr>
            </w:pPr>
            <w:r w:rsidRPr="00B730B6">
              <w:rPr>
                <w:color w:val="000000"/>
                <w:lang w:val="ru-RU" w:eastAsia="en-GB"/>
              </w:rPr>
              <w:t>строительство в исторических районах города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7.8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4.1</w:t>
            </w:r>
          </w:p>
        </w:tc>
      </w:tr>
      <w:tr w:rsidR="0060318C" w:rsidRPr="00B730B6">
        <w:tc>
          <w:tcPr>
            <w:tcW w:w="6096" w:type="dxa"/>
            <w:vAlign w:val="bottom"/>
          </w:tcPr>
          <w:p w:rsidR="0060318C" w:rsidRPr="00B730B6" w:rsidRDefault="0060318C" w:rsidP="00B730B6">
            <w:pPr>
              <w:spacing w:after="0" w:line="240" w:lineRule="auto"/>
              <w:rPr>
                <w:color w:val="000000"/>
                <w:lang w:eastAsia="en-GB"/>
              </w:rPr>
            </w:pPr>
            <w:r w:rsidRPr="00B730B6">
              <w:rPr>
                <w:color w:val="000000"/>
                <w:lang w:val="ru-RU" w:eastAsia="en-GB"/>
              </w:rPr>
              <w:t xml:space="preserve">"Точечная застройка" </w:t>
            </w:r>
          </w:p>
        </w:tc>
        <w:tc>
          <w:tcPr>
            <w:tcW w:w="1134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.5</w:t>
            </w:r>
          </w:p>
        </w:tc>
        <w:tc>
          <w:tcPr>
            <w:tcW w:w="992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3.1</w:t>
            </w:r>
          </w:p>
        </w:tc>
        <w:tc>
          <w:tcPr>
            <w:tcW w:w="851" w:type="dxa"/>
            <w:vAlign w:val="center"/>
          </w:tcPr>
          <w:p w:rsidR="0060318C" w:rsidRPr="00B730B6" w:rsidRDefault="0060318C" w:rsidP="00B730B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730B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1.6</w:t>
            </w:r>
          </w:p>
        </w:tc>
      </w:tr>
    </w:tbl>
    <w:p w:rsidR="0060318C" w:rsidRDefault="0060318C" w:rsidP="002B0932">
      <w:pPr>
        <w:rPr>
          <w:lang w:val="ru-RU"/>
        </w:rPr>
      </w:pPr>
    </w:p>
    <w:p w:rsidR="0060318C" w:rsidRPr="002B0932" w:rsidRDefault="006D1E3A" w:rsidP="002B093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00800" cy="3638550"/>
            <wp:effectExtent l="0" t="0" r="0" b="0"/>
            <wp:docPr id="1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Pr="000A52C1" w:rsidRDefault="006D1E3A" w:rsidP="000A52C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05550" cy="6908800"/>
            <wp:effectExtent l="0" t="0" r="0" b="635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201A0E">
      <w:pPr>
        <w:pStyle w:val="1"/>
        <w:rPr>
          <w:rFonts w:cs="Times New Roman"/>
          <w:lang w:val="ru-RU"/>
        </w:rPr>
      </w:pPr>
    </w:p>
    <w:p w:rsidR="0060318C" w:rsidRDefault="0060318C" w:rsidP="00201A0E">
      <w:pPr>
        <w:pStyle w:val="1"/>
        <w:rPr>
          <w:rFonts w:cs="Times New Roman"/>
          <w:lang w:val="ru-RU"/>
        </w:rPr>
      </w:pPr>
    </w:p>
    <w:p w:rsidR="0060318C" w:rsidRDefault="0060318C" w:rsidP="00201A0E">
      <w:pPr>
        <w:pStyle w:val="1"/>
        <w:rPr>
          <w:rFonts w:cs="Times New Roman"/>
          <w:lang w:val="ru-RU"/>
        </w:rPr>
      </w:pPr>
    </w:p>
    <w:p w:rsidR="0060318C" w:rsidRPr="00201A0E" w:rsidRDefault="0060318C" w:rsidP="00201A0E">
      <w:pPr>
        <w:pStyle w:val="1"/>
        <w:rPr>
          <w:rFonts w:cs="Times New Roman"/>
          <w:lang w:val="ru-RU"/>
        </w:rPr>
      </w:pPr>
      <w:r>
        <w:rPr>
          <w:lang w:val="ru-RU"/>
        </w:rPr>
        <w:t>Проблемы, которые можно решить силами жителей района</w:t>
      </w: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D513A0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вопрос «</w:t>
      </w:r>
      <w:r w:rsidRPr="005B6465">
        <w:rPr>
          <w:rFonts w:ascii="Times New Roman" w:hAnsi="Times New Roman" w:cs="Times New Roman"/>
          <w:sz w:val="24"/>
          <w:szCs w:val="24"/>
          <w:lang w:val="ru-RU"/>
        </w:rPr>
        <w:t>Опишите пожалуйста проблему Вашего района, которую на Ваш взгляд, можно решить с помощью жителей района (своими силами)</w:t>
      </w:r>
      <w:r>
        <w:rPr>
          <w:rFonts w:ascii="Times New Roman" w:hAnsi="Times New Roman" w:cs="Times New Roman"/>
          <w:sz w:val="24"/>
          <w:szCs w:val="24"/>
          <w:lang w:val="ru-RU"/>
        </w:rPr>
        <w:t>» ответило 95 человек, или 49% опрошенных. Ответившими были названы следующие проблемы:</w:t>
      </w:r>
    </w:p>
    <w:p w:rsidR="0060318C" w:rsidRDefault="0060318C" w:rsidP="0072529F">
      <w:pPr>
        <w:pStyle w:val="a3"/>
        <w:numPr>
          <w:ilvl w:val="0"/>
          <w:numId w:val="7"/>
        </w:numPr>
        <w:tabs>
          <w:tab w:val="left" w:pos="3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Экология, загрязнение окружающей среды, озеленение и т.п. (52 человека)</w:t>
      </w:r>
      <w:r w:rsidRPr="005B64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318C" w:rsidRDefault="0060318C" w:rsidP="0072529F">
      <w:pPr>
        <w:pStyle w:val="a3"/>
        <w:numPr>
          <w:ilvl w:val="0"/>
          <w:numId w:val="7"/>
        </w:numPr>
        <w:tabs>
          <w:tab w:val="left" w:pos="3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Детские площадки и спортивные сооружения, отсутствие развлечений для молодежи (19 человек)</w:t>
      </w:r>
      <w:r w:rsidRPr="0072529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318C" w:rsidRDefault="0060318C" w:rsidP="0072529F">
      <w:pPr>
        <w:pStyle w:val="a3"/>
        <w:numPr>
          <w:ilvl w:val="0"/>
          <w:numId w:val="7"/>
        </w:numPr>
        <w:tabs>
          <w:tab w:val="left" w:pos="3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Парковки, их нехватка во дворах (11 человек)</w:t>
      </w:r>
      <w:r w:rsidRPr="005B64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318C" w:rsidRDefault="0060318C" w:rsidP="0072529F">
      <w:pPr>
        <w:pStyle w:val="a3"/>
        <w:numPr>
          <w:ilvl w:val="0"/>
          <w:numId w:val="7"/>
        </w:numPr>
        <w:tabs>
          <w:tab w:val="left" w:pos="3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Курение в общественных местах (7 человек)</w:t>
      </w:r>
      <w:r w:rsidRPr="0072529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318C" w:rsidRDefault="0060318C" w:rsidP="0072529F">
      <w:pPr>
        <w:pStyle w:val="a3"/>
        <w:numPr>
          <w:ilvl w:val="0"/>
          <w:numId w:val="7"/>
        </w:numPr>
        <w:tabs>
          <w:tab w:val="left" w:pos="3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Бездомные животные (7 человек).</w:t>
      </w:r>
    </w:p>
    <w:p w:rsidR="0060318C" w:rsidRDefault="0060318C" w:rsidP="005B6465">
      <w:pPr>
        <w:pStyle w:val="a3"/>
        <w:tabs>
          <w:tab w:val="left" w:pos="355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D1E3A" w:rsidP="005B6465">
      <w:pPr>
        <w:pStyle w:val="a3"/>
        <w:tabs>
          <w:tab w:val="left" w:pos="355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432300" cy="3213100"/>
            <wp:effectExtent l="0" t="0" r="6350" b="6350"/>
            <wp:docPr id="1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8C" w:rsidRDefault="0060318C" w:rsidP="0072529F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Менее частотные ответы на данный вопрос включают в себя: инфраструктурные проблемы: качество дорог, проблемы с автобусным сообщением и пешеходными зонами (5 человек)</w:t>
      </w:r>
      <w:r w:rsidRPr="0072529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проблема отношения к незащищенным группам населения: инвалидам (в т.ч. отсутствие подходящей среды), пенсионерам, ветеранам, больным детям</w:t>
      </w:r>
      <w:r w:rsidRPr="002A4B27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бездомные и безработные (5 человек)</w:t>
      </w:r>
      <w:r w:rsidRPr="0072529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пьянство на улицах (4 человека)</w:t>
      </w:r>
      <w:r w:rsidRPr="0072529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хулиганство (3 человека)</w:t>
      </w:r>
      <w:r w:rsidRPr="0072529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 человека указали в качестве проблемы «безразличие общества» и «равнодушие и меркантильность», и 1 человек указал на проблему граффити.</w:t>
      </w:r>
    </w:p>
    <w:p w:rsidR="0060318C" w:rsidRDefault="0060318C" w:rsidP="006D1B12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Ряд респондентов в своих ответах предложили рекомендации по устранению указанных ими проблем: «</w:t>
      </w:r>
      <w:r w:rsidRPr="00D513A0">
        <w:rPr>
          <w:rFonts w:ascii="Times New Roman" w:hAnsi="Times New Roman" w:cs="Times New Roman"/>
          <w:sz w:val="24"/>
          <w:szCs w:val="24"/>
          <w:lang w:val="ru-RU"/>
        </w:rPr>
        <w:t>увеличение количества рабочих мест для сокращения 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«курение в общественных местах – </w:t>
      </w:r>
      <w:r w:rsidRPr="00D513A0">
        <w:rPr>
          <w:rFonts w:ascii="Times New Roman" w:hAnsi="Times New Roman" w:cs="Times New Roman"/>
          <w:sz w:val="24"/>
          <w:szCs w:val="24"/>
          <w:lang w:val="ru-RU"/>
        </w:rPr>
        <w:t>повысить штрафы</w:t>
      </w:r>
      <w:r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Pr="006D1B12">
        <w:rPr>
          <w:rFonts w:ascii="Times New Roman" w:hAnsi="Times New Roman" w:cs="Times New Roman"/>
          <w:sz w:val="24"/>
          <w:szCs w:val="24"/>
          <w:lang w:val="ru-RU"/>
        </w:rPr>
        <w:t>надо строить не только магазины, но оставлять место для спортивных и детских площадок</w:t>
      </w:r>
      <w:r>
        <w:rPr>
          <w:rFonts w:ascii="Times New Roman" w:hAnsi="Times New Roman" w:cs="Times New Roman"/>
          <w:sz w:val="24"/>
          <w:szCs w:val="24"/>
          <w:lang w:val="ru-RU"/>
        </w:rPr>
        <w:t>», «прекратить вырубку дере</w:t>
      </w:r>
      <w:r w:rsidRPr="006D1B12">
        <w:rPr>
          <w:rFonts w:ascii="Times New Roman" w:hAnsi="Times New Roman" w:cs="Times New Roman"/>
          <w:sz w:val="24"/>
          <w:szCs w:val="24"/>
          <w:lang w:val="ru-RU"/>
        </w:rPr>
        <w:t>вьев и повреждение зеленых зон заезжающими автомобилями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». Подобного рода ответы свидетельствуют о том, что вопрос не был корректно понят респондентами, т.к. речь явно идет о мерах, находящихся вне компетенции локального сообщества жителей того или иного района. В связи с этим имеет смысл рассматривать полученные результаты не столько как список проблем, которые граждане в состоянии разрешить своими силами (к ним также не относятся, например, проблемы, связанные с дорожной и коммунальной инфраструктурой районов), сколько как показатель наиболее актуальных, по мнению граждан, проблем соответствующих районов. С политической точки зрения это прямо противоположные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интерпретации: результаты можно было бы интерпретировать, как указание на те области городской и коммунальной политики, где нет необходимости непосредственного вмешательства городских властей или других организаций, однако в действительности ряд данных респондентами ответов нацелен именно на привлечение внимания к проблемам, которые местному сообществу своими силами не решить. </w:t>
      </w:r>
    </w:p>
    <w:p w:rsidR="0060318C" w:rsidRDefault="0060318C" w:rsidP="006D1B12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351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Выводы и рекомендации.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Результаты исследования дают основания для вывода о достаточно высокой степени готовности значительной  части населения  г. Пскова  к участию в благотворительной деятельности. Высокий процент молодежи среди респондентов, в той или иной степени занимавшихся благотворительностью,  свидетельствует  о том, что такая деятельность может рассматриваться как фактор социализации. Можно предположить и наличие большого потенциала развития благотворительности в будущем. Сравнительно невысокий доход большинства молодых респондентов  определил для них формы участия в благотворительности. Это, в свою очередь, дает надежду на расширение числа таких форм в будущем по мере роста доходов молодых респондентов, особенно студентов. 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Опрос  указывает на недостаточную информированность населения о работе Фонда и о благотворительности вообще.  Что касается  значительной  части респондентов, отказавшихся от регулярного получения информации о деятельности Фонда, то можно предположить, что это связано с определенной степенью недоверия к институционализации благотворительной деятельности.   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Анализ расстановки респондентами приоритетов относительно объектов благотворительной деятельности дает основания для вывода о том, что Фонд  способен участвовать в решении важных социальных проблем и, что не менее важно, артикулировать эти проблемы, привлекая к их решению основных субъектов местного сообщества.  Стоит обратить </w:t>
      </w: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внимание  на сравнительно низкий процент, который получил такой объект благотворительности, как мигранты. Это в значительной степени отражает тот факт, что их количество в регионе не достигает критической отметки.  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Результаты исследования показывают, что большинство респондентов в той или иной форме участвуют в благотворительной деятельности. Наиболее высок  процент  подававших милостыню и жертвовавших вещи нуждающимся (эти формы можно условно назвать «стихийными»).  Но обращает на себя внимание и сравнительно высокий процент волонтеров и жертвователей денег в благотворительный фонд, что свидетельствует о наличии высокого потенциала  участия молодежи в благотворительной деятельности.  </w:t>
      </w:r>
    </w:p>
    <w:p w:rsidR="0060318C" w:rsidRPr="003351FE" w:rsidRDefault="0060318C" w:rsidP="003351FE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Достаточно  высокой является  также  </w:t>
      </w:r>
      <w:r w:rsidRPr="003351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готовность</w:t>
      </w: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участия в благотворительной  деятельности. Можно сделать вывод  и относительно предпочтительных  форм  такого  участия. Это - </w:t>
      </w:r>
      <w:r w:rsidRPr="003351FE">
        <w:rPr>
          <w:rFonts w:ascii="Times New Roman" w:hAnsi="Times New Roman" w:cs="Times New Roman"/>
          <w:sz w:val="28"/>
          <w:szCs w:val="28"/>
          <w:lang w:val="ru-RU"/>
        </w:rPr>
        <w:t xml:space="preserve">благотворительные концерты, марафоны и распродажи, а также спортивные мероприятия. О высоком потенциале благотворительной деятельности свидетельствуют  ответы на вопрос анкеты о том, какие группы нуждающихся вызывают наибольшее сочувствие. Объектами сочувствия чаще всего выступают дети, пожилые люди, бездомные, инвалиды, многодетные семьи и  малообеспеченные  слои  населения.  Характерным для большинства участников  выборки  является приоритетное значение  «помощи делом» среди всех прочих способов помощи. Это отражает, во-первых, наличие среди респондентов большого числа молодых людей  и, во-вторых, тенденцию  к  осознанному, неслучайному позитивному отношению к благотворительности. Стоит упомянуть также высокий процент считающих удобным способом помощи передачу продуктов и вещей, либо лично нуждающимся (52%), либо через организацию (38%). Обратим внимание на разницу между двумя последними показателями, которая, как мы уже отмечали в «Результатах исследования», может свидетельствовать </w:t>
      </w:r>
      <w:r w:rsidRPr="003351F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 определенном дефиците доверия к общественным организациям, выступающим от имени нуждающихся.  Исследование показало, что в большинстве случаев  группы  нуждающихся, которым респонденты готовы жертвовать,  совпадают с теми, которые  вызывают наибольшее сочувствие.  Но при этом имеют место  и такие варианты ответов, где указанное совпадение отсутствует. Исследование  позволяет выявить и наиболее острые проблемы местного сообщества.  Этот материал (см. «Результаты исследования»)  может быть полезным  и  общественности, и управляющим компаниям,  и муниципальным органам власти и управления.  Обобщая все варианты ответов, следует отметить неравнодушное отношение членов  местного сообщества к вопросу комфортной и здоровой среды обитания для всех жителей.  Такой вывод подтверждают и ответы на открытый вопрос – проблемы, которые можно решить с помощью (силами) жителей  района. Выявление, артикуляция  и  обнародование данных проблем  может  способствовать взаимодействию  отдельных граждан, организаций гражданского общества,  бизнес-структур, СМИ, а также органов власти и управления в решении  актуальных проблем  муниципальных образований, поскольку все перечисленных субъектов  объединяет  признак  принадлежности к местному сообществу,  который фиксируется в понятии  «жители». </w:t>
      </w:r>
      <w:r w:rsidRPr="003351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3351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Обратим внимание, что ряд проблем, сформулированных респондентами,  выходит  за рамки  компетенции и возможностей </w:t>
      </w:r>
      <w:r w:rsidRPr="003351FE">
        <w:rPr>
          <w:rFonts w:ascii="Times New Roman" w:hAnsi="Times New Roman" w:cs="Times New Roman"/>
          <w:sz w:val="28"/>
          <w:szCs w:val="28"/>
          <w:lang w:val="ru-RU"/>
        </w:rPr>
        <w:t>местного сообщества.  Но ценность их формулирования состоит в привлечении  к ним внимания органов региональной и федеральной власти.</w:t>
      </w:r>
    </w:p>
    <w:p w:rsidR="0060318C" w:rsidRPr="003351FE" w:rsidRDefault="0060318C" w:rsidP="0033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того, чтобы  благотворительный Фонд развития местного сообщества «Добрые города» был влиятельным субъектом поддержки местных инициатив, ему  необходимо принять меры к более широкому освещению своей деятельности:  во-первых, обратить внимание на  те источники информации, которые в наибольшей степени используются </w:t>
      </w: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различными категориями населения – продолжать взаимодействовать с региональным телевидением, активизировать свое присутствие в</w:t>
      </w:r>
      <w:r w:rsidRPr="001843E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Интернете, рекламировать сайт; во-вторых, установить контакт с теми информационными структурами, которые  в меньшей степени связаны с освещением работы Фонда (радио, газеты).  Упомянутые меры, по нашему мнению, помогут  уменьшить существующий </w:t>
      </w:r>
      <w:r w:rsidRPr="003351FE">
        <w:rPr>
          <w:rFonts w:ascii="Times New Roman" w:hAnsi="Times New Roman" w:cs="Times New Roman"/>
          <w:sz w:val="28"/>
          <w:szCs w:val="28"/>
          <w:lang w:val="ru-RU"/>
        </w:rPr>
        <w:t xml:space="preserve">дефицит доверия к общественным организациям, выступающим от имени нуждающихся.  Популяризации  деятельности Фонда способствовала  бы и  организация  им  (с использованием всех информационных ресурсов)  широкого освещения  деятельности всех категорий благотворителей.  </w:t>
      </w:r>
      <w:r w:rsidRPr="003351F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отношении  форм  благотворительности  Фонду следует  продолжать практику  организации  </w:t>
      </w:r>
      <w:r w:rsidRPr="003351FE">
        <w:rPr>
          <w:rFonts w:ascii="Times New Roman" w:hAnsi="Times New Roman" w:cs="Times New Roman"/>
          <w:sz w:val="28"/>
          <w:szCs w:val="28"/>
          <w:lang w:val="ru-RU"/>
        </w:rPr>
        <w:t>благотворительных концертов, марафонов, распродаж и  спортивных мероприятий,  совершенствовать  организацию  иных апробированных форм,  находить новые оптимальные  формы благотворительности.  Необходимо чаще и конкретней взаимодействовать с муниципальной администрацией, управляющими компаниями,  НКО.  Больше  внимания стоит  уделять   сотрудничеству с бизнес-структурами, вовлечению их в благотворительную деятельность.  Совершенствованию работы  Фонда  и  деятельности всех субъектов поддержки местных инициатив, на наш взгляд,  будет способствовать также регулярное проведение  социологических исследований.</w:t>
      </w:r>
    </w:p>
    <w:p w:rsidR="0060318C" w:rsidRDefault="0060318C" w:rsidP="006D1B12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18C" w:rsidRDefault="0060318C" w:rsidP="006D1B12">
      <w:pPr>
        <w:tabs>
          <w:tab w:val="left" w:pos="35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318C" w:rsidSect="00A1212A">
      <w:footerReference w:type="default" r:id="rId22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FB" w:rsidRDefault="002633FB" w:rsidP="00257C25">
      <w:pPr>
        <w:spacing w:after="0" w:line="240" w:lineRule="auto"/>
      </w:pPr>
      <w:r>
        <w:separator/>
      </w:r>
    </w:p>
  </w:endnote>
  <w:endnote w:type="continuationSeparator" w:id="0">
    <w:p w:rsidR="002633FB" w:rsidRDefault="002633FB" w:rsidP="0025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8C" w:rsidRDefault="002633F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E3A">
      <w:rPr>
        <w:noProof/>
      </w:rPr>
      <w:t>19</w:t>
    </w:r>
    <w:r>
      <w:rPr>
        <w:noProof/>
      </w:rPr>
      <w:fldChar w:fldCharType="end"/>
    </w:r>
  </w:p>
  <w:p w:rsidR="0060318C" w:rsidRDefault="006031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FB" w:rsidRDefault="002633FB" w:rsidP="00257C25">
      <w:pPr>
        <w:spacing w:after="0" w:line="240" w:lineRule="auto"/>
      </w:pPr>
      <w:r>
        <w:separator/>
      </w:r>
    </w:p>
  </w:footnote>
  <w:footnote w:type="continuationSeparator" w:id="0">
    <w:p w:rsidR="002633FB" w:rsidRDefault="002633FB" w:rsidP="0025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6B5E"/>
    <w:multiLevelType w:val="hybridMultilevel"/>
    <w:tmpl w:val="9D9E6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38B5"/>
    <w:multiLevelType w:val="hybridMultilevel"/>
    <w:tmpl w:val="7938EA78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0B85794"/>
    <w:multiLevelType w:val="hybridMultilevel"/>
    <w:tmpl w:val="3F16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1126470"/>
    <w:multiLevelType w:val="hybridMultilevel"/>
    <w:tmpl w:val="DCD0B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51166"/>
    <w:multiLevelType w:val="hybridMultilevel"/>
    <w:tmpl w:val="407E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D1FFB"/>
    <w:multiLevelType w:val="hybridMultilevel"/>
    <w:tmpl w:val="1BEA5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C8D0A50"/>
    <w:multiLevelType w:val="hybridMultilevel"/>
    <w:tmpl w:val="C3DA2CE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3"/>
    <w:rsid w:val="000061FB"/>
    <w:rsid w:val="000947C6"/>
    <w:rsid w:val="000A52C1"/>
    <w:rsid w:val="00131880"/>
    <w:rsid w:val="00152F4E"/>
    <w:rsid w:val="001609C0"/>
    <w:rsid w:val="00180A48"/>
    <w:rsid w:val="001843EA"/>
    <w:rsid w:val="00196BC9"/>
    <w:rsid w:val="00201A0E"/>
    <w:rsid w:val="00235160"/>
    <w:rsid w:val="00257C25"/>
    <w:rsid w:val="002633FB"/>
    <w:rsid w:val="002A4B27"/>
    <w:rsid w:val="002B0932"/>
    <w:rsid w:val="002B1550"/>
    <w:rsid w:val="002B6CC9"/>
    <w:rsid w:val="00310600"/>
    <w:rsid w:val="003351FE"/>
    <w:rsid w:val="003A30BA"/>
    <w:rsid w:val="003E1315"/>
    <w:rsid w:val="00424388"/>
    <w:rsid w:val="004F6816"/>
    <w:rsid w:val="00510A75"/>
    <w:rsid w:val="00510C7C"/>
    <w:rsid w:val="005738A8"/>
    <w:rsid w:val="005B6465"/>
    <w:rsid w:val="005D04DF"/>
    <w:rsid w:val="005F1146"/>
    <w:rsid w:val="0060318C"/>
    <w:rsid w:val="0063647A"/>
    <w:rsid w:val="006B7473"/>
    <w:rsid w:val="006C0C2F"/>
    <w:rsid w:val="006D1B12"/>
    <w:rsid w:val="006D1E3A"/>
    <w:rsid w:val="006E72D7"/>
    <w:rsid w:val="00715123"/>
    <w:rsid w:val="0072529F"/>
    <w:rsid w:val="00776E93"/>
    <w:rsid w:val="007B1002"/>
    <w:rsid w:val="007D6EC7"/>
    <w:rsid w:val="007E29D7"/>
    <w:rsid w:val="00831155"/>
    <w:rsid w:val="00895A07"/>
    <w:rsid w:val="00897983"/>
    <w:rsid w:val="00926C40"/>
    <w:rsid w:val="00935D1E"/>
    <w:rsid w:val="009A0A5E"/>
    <w:rsid w:val="009B251C"/>
    <w:rsid w:val="00A1212A"/>
    <w:rsid w:val="00A774DF"/>
    <w:rsid w:val="00A914F1"/>
    <w:rsid w:val="00A93F8C"/>
    <w:rsid w:val="00B7046A"/>
    <w:rsid w:val="00B730B6"/>
    <w:rsid w:val="00BA7E12"/>
    <w:rsid w:val="00C0377C"/>
    <w:rsid w:val="00C61F7C"/>
    <w:rsid w:val="00CD755E"/>
    <w:rsid w:val="00CF16E7"/>
    <w:rsid w:val="00D2630F"/>
    <w:rsid w:val="00D513A0"/>
    <w:rsid w:val="00D76347"/>
    <w:rsid w:val="00D766BE"/>
    <w:rsid w:val="00D86DF1"/>
    <w:rsid w:val="00DB7066"/>
    <w:rsid w:val="00DC62EE"/>
    <w:rsid w:val="00DF3B8A"/>
    <w:rsid w:val="00DF3D62"/>
    <w:rsid w:val="00E02AD8"/>
    <w:rsid w:val="00EA5420"/>
    <w:rsid w:val="00F21DF7"/>
    <w:rsid w:val="00F37967"/>
    <w:rsid w:val="00F96CA8"/>
    <w:rsid w:val="00FB3E3E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A"/>
    <w:pPr>
      <w:spacing w:after="200" w:line="276" w:lineRule="auto"/>
    </w:pPr>
    <w:rPr>
      <w:rFonts w:cs="Calibri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2A4B2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B2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B7473"/>
    <w:pPr>
      <w:ind w:left="720"/>
    </w:pPr>
  </w:style>
  <w:style w:type="paragraph" w:styleId="a4">
    <w:name w:val="Balloon Text"/>
    <w:basedOn w:val="a"/>
    <w:link w:val="a5"/>
    <w:uiPriority w:val="99"/>
    <w:semiHidden/>
    <w:rsid w:val="005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646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897983"/>
    <w:pPr>
      <w:spacing w:line="240" w:lineRule="auto"/>
    </w:pPr>
    <w:rPr>
      <w:b/>
      <w:bCs/>
      <w:color w:val="4F81BD"/>
      <w:sz w:val="18"/>
      <w:szCs w:val="18"/>
    </w:rPr>
  </w:style>
  <w:style w:type="table" w:styleId="a7">
    <w:name w:val="Table Grid"/>
    <w:basedOn w:val="a1"/>
    <w:uiPriority w:val="99"/>
    <w:rsid w:val="008979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257C2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57C25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257C25"/>
    <w:rPr>
      <w:vertAlign w:val="superscript"/>
    </w:rPr>
  </w:style>
  <w:style w:type="paragraph" w:styleId="ab">
    <w:name w:val="header"/>
    <w:basedOn w:val="a"/>
    <w:link w:val="ac"/>
    <w:uiPriority w:val="99"/>
    <w:rsid w:val="00180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80A48"/>
  </w:style>
  <w:style w:type="paragraph" w:styleId="ad">
    <w:name w:val="footer"/>
    <w:basedOn w:val="a"/>
    <w:link w:val="ae"/>
    <w:uiPriority w:val="99"/>
    <w:rsid w:val="00180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80A48"/>
  </w:style>
  <w:style w:type="character" w:customStyle="1" w:styleId="apple-converted-space">
    <w:name w:val="apple-converted-space"/>
    <w:basedOn w:val="a0"/>
    <w:uiPriority w:val="99"/>
    <w:rsid w:val="0033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A"/>
    <w:pPr>
      <w:spacing w:after="200" w:line="276" w:lineRule="auto"/>
    </w:pPr>
    <w:rPr>
      <w:rFonts w:cs="Calibri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2A4B2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B2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B7473"/>
    <w:pPr>
      <w:ind w:left="720"/>
    </w:pPr>
  </w:style>
  <w:style w:type="paragraph" w:styleId="a4">
    <w:name w:val="Balloon Text"/>
    <w:basedOn w:val="a"/>
    <w:link w:val="a5"/>
    <w:uiPriority w:val="99"/>
    <w:semiHidden/>
    <w:rsid w:val="005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646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897983"/>
    <w:pPr>
      <w:spacing w:line="240" w:lineRule="auto"/>
    </w:pPr>
    <w:rPr>
      <w:b/>
      <w:bCs/>
      <w:color w:val="4F81BD"/>
      <w:sz w:val="18"/>
      <w:szCs w:val="18"/>
    </w:rPr>
  </w:style>
  <w:style w:type="table" w:styleId="a7">
    <w:name w:val="Table Grid"/>
    <w:basedOn w:val="a1"/>
    <w:uiPriority w:val="99"/>
    <w:rsid w:val="008979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257C2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57C25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257C25"/>
    <w:rPr>
      <w:vertAlign w:val="superscript"/>
    </w:rPr>
  </w:style>
  <w:style w:type="paragraph" w:styleId="ab">
    <w:name w:val="header"/>
    <w:basedOn w:val="a"/>
    <w:link w:val="ac"/>
    <w:uiPriority w:val="99"/>
    <w:rsid w:val="00180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80A48"/>
  </w:style>
  <w:style w:type="paragraph" w:styleId="ad">
    <w:name w:val="footer"/>
    <w:basedOn w:val="a"/>
    <w:link w:val="ae"/>
    <w:uiPriority w:val="99"/>
    <w:rsid w:val="00180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80A48"/>
  </w:style>
  <w:style w:type="character" w:customStyle="1" w:styleId="apple-converted-space">
    <w:name w:val="apple-converted-space"/>
    <w:basedOn w:val="a0"/>
    <w:uiPriority w:val="99"/>
    <w:rsid w:val="0033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3780</Words>
  <Characters>21546</Characters>
  <Application>Microsoft Office Word</Application>
  <DocSecurity>0</DocSecurity>
  <Lines>179</Lines>
  <Paragraphs>50</Paragraphs>
  <ScaleCrop>false</ScaleCrop>
  <Company>London School of Economics and Political Science</Company>
  <LinksUpToDate>false</LinksUpToDate>
  <CharactersWithSpaces>25276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Al_Ninyo</cp:lastModifiedBy>
  <cp:revision>2</cp:revision>
  <dcterms:created xsi:type="dcterms:W3CDTF">2015-11-17T18:05:00Z</dcterms:created>
  <dcterms:modified xsi:type="dcterms:W3CDTF">2015-11-17T18:05:00Z</dcterms:modified>
</cp:coreProperties>
</file>